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CBE" w:rsidRDefault="000D3CBE" w:rsidP="000D3CBE">
      <w:pPr>
        <w:pStyle w:val="Heading2"/>
        <w:rPr>
          <w:rFonts w:asciiTheme="minorHAnsi" w:eastAsiaTheme="minorHAnsi" w:hAnsiTheme="minorHAnsi" w:cstheme="minorHAnsi"/>
          <w:bCs w:val="0"/>
          <w:lang w:val="nl-NL" w:eastAsia="en-US"/>
        </w:rPr>
      </w:pPr>
      <w:r w:rsidRPr="00DD023E">
        <w:rPr>
          <w:rFonts w:asciiTheme="minorHAnsi" w:eastAsiaTheme="minorHAnsi" w:hAnsiTheme="minorHAnsi" w:cstheme="minorHAnsi"/>
          <w:bCs w:val="0"/>
          <w:lang w:val="nl-NL" w:eastAsia="en-US"/>
        </w:rPr>
        <w:t>Stedelijke regio’s</w:t>
      </w:r>
    </w:p>
    <w:p w:rsidR="000D3CBE" w:rsidRDefault="000D3CBE" w:rsidP="000D3CBE">
      <w:pPr>
        <w:pStyle w:val="Heading2"/>
        <w:rPr>
          <w:rFonts w:asciiTheme="minorHAnsi" w:hAnsiTheme="minorHAnsi" w:cstheme="minorHAnsi"/>
          <w:b w:val="0"/>
          <w:sz w:val="24"/>
          <w:szCs w:val="24"/>
          <w:lang w:val="nl-NL"/>
        </w:rPr>
      </w:pPr>
    </w:p>
    <w:p w:rsidR="000D3CBE" w:rsidRPr="00DD023E" w:rsidRDefault="000D3CBE" w:rsidP="000D3CBE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 xml:space="preserve">Korte toelichting </w:t>
      </w:r>
    </w:p>
    <w:p w:rsidR="000D3CBE" w:rsidRDefault="000D3CBE" w:rsidP="000D3CBE">
      <w:pPr>
        <w:pStyle w:val="Heading2"/>
        <w:rPr>
          <w:rFonts w:asciiTheme="minorHAnsi" w:hAnsiTheme="minorHAnsi" w:cstheme="minorHAnsi"/>
          <w:b w:val="0"/>
          <w:sz w:val="24"/>
          <w:szCs w:val="24"/>
          <w:lang w:val="nl-NL"/>
        </w:rPr>
      </w:pPr>
      <w:r w:rsidRPr="00DD023E">
        <w:rPr>
          <w:rFonts w:asciiTheme="minorHAnsi" w:hAnsiTheme="minorHAnsi" w:cstheme="minorHAnsi"/>
          <w:b w:val="0"/>
          <w:sz w:val="24"/>
          <w:szCs w:val="24"/>
          <w:lang w:val="nl-NL"/>
        </w:rPr>
        <w:t>Stedelijke regio’s zijn regionale samenwerkingsverbanden tussen gemeenten en zijn meestal gebaseerd op de pendelstromen (</w:t>
      </w:r>
      <w:proofErr w:type="spellStart"/>
      <w:r w:rsidRPr="00DD023E">
        <w:rPr>
          <w:rFonts w:asciiTheme="minorHAnsi" w:hAnsiTheme="minorHAnsi" w:cstheme="minorHAnsi"/>
          <w:b w:val="0"/>
          <w:sz w:val="24"/>
          <w:szCs w:val="24"/>
          <w:lang w:val="nl-NL"/>
        </w:rPr>
        <w:t>daily</w:t>
      </w:r>
      <w:proofErr w:type="spellEnd"/>
      <w:r w:rsidRPr="00DD023E">
        <w:rPr>
          <w:rFonts w:asciiTheme="minorHAnsi" w:hAnsiTheme="minorHAnsi" w:cstheme="minorHAnsi"/>
          <w:b w:val="0"/>
          <w:sz w:val="24"/>
          <w:szCs w:val="24"/>
          <w:lang w:val="nl-NL"/>
        </w:rPr>
        <w:t xml:space="preserve"> </w:t>
      </w:r>
      <w:proofErr w:type="spellStart"/>
      <w:r w:rsidRPr="00DD023E">
        <w:rPr>
          <w:rFonts w:asciiTheme="minorHAnsi" w:hAnsiTheme="minorHAnsi" w:cstheme="minorHAnsi"/>
          <w:b w:val="0"/>
          <w:sz w:val="24"/>
          <w:szCs w:val="24"/>
          <w:lang w:val="nl-NL"/>
        </w:rPr>
        <w:t>urban</w:t>
      </w:r>
      <w:proofErr w:type="spellEnd"/>
      <w:r w:rsidRPr="00DD023E">
        <w:rPr>
          <w:rFonts w:asciiTheme="minorHAnsi" w:hAnsiTheme="minorHAnsi" w:cstheme="minorHAnsi"/>
          <w:b w:val="0"/>
          <w:sz w:val="24"/>
          <w:szCs w:val="24"/>
          <w:lang w:val="nl-NL"/>
        </w:rPr>
        <w:t xml:space="preserve"> system) rond een grote of middelgrote stad. Voorbeelden van deze stedelijke regio’s zijn de metropoolregio’s Amsterdam, Rotterdam-Den Haag en Eindhoven. Voorbeelden van stedelijke regio’s rond middelgrote steden zijn de regio Zwolle, Arnhem-Nijmegen, Groningen-Assen en Parkstad Limburg. </w:t>
      </w:r>
    </w:p>
    <w:p w:rsidR="000D3CBE" w:rsidRDefault="000D3CBE" w:rsidP="000D3CBE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</w:p>
    <w:p w:rsidR="000D3CBE" w:rsidRPr="00952E42" w:rsidRDefault="000D3CBE" w:rsidP="000D3CBE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>Kaartgegevens</w:t>
      </w:r>
    </w:p>
    <w:p w:rsidR="000D3CBE" w:rsidRPr="00A46ACB" w:rsidRDefault="000D3CBE" w:rsidP="000D3CBE">
      <w:pPr>
        <w:pStyle w:val="NormalWeb"/>
        <w:rPr>
          <w:rFonts w:asciiTheme="minorHAnsi" w:hAnsiTheme="minorHAnsi" w:cstheme="minorHAnsi"/>
          <w:lang w:val="nl-NL"/>
        </w:rPr>
      </w:pPr>
      <w:r w:rsidRPr="00A35AC0">
        <w:rPr>
          <w:rFonts w:asciiTheme="minorHAnsi" w:hAnsiTheme="minorHAnsi" w:cstheme="minorHAnsi"/>
          <w:lang w:val="nl-NL"/>
        </w:rPr>
        <w:t xml:space="preserve">Bron: </w:t>
      </w:r>
      <w:r w:rsidRPr="00EE1671">
        <w:rPr>
          <w:rFonts w:asciiTheme="minorHAnsi" w:hAnsiTheme="minorHAnsi" w:cstheme="minorHAnsi"/>
          <w:lang w:val="nl-NL"/>
        </w:rPr>
        <w:t>PBL</w:t>
      </w:r>
    </w:p>
    <w:p w:rsidR="000D3CBE" w:rsidRPr="00A46ACB" w:rsidRDefault="000D3CBE" w:rsidP="000D3CBE">
      <w:pPr>
        <w:pStyle w:val="NormalWeb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>Beheer van de kaart: PBL</w:t>
      </w:r>
    </w:p>
    <w:p w:rsidR="000D3CBE" w:rsidRPr="00A46ACB" w:rsidRDefault="000D3CBE" w:rsidP="000D3CBE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Jaar: </w:t>
      </w:r>
      <w:r>
        <w:rPr>
          <w:rFonts w:asciiTheme="minorHAnsi" w:hAnsiTheme="minorHAnsi" w:cstheme="minorHAnsi"/>
          <w:lang w:val="nl-NL"/>
        </w:rPr>
        <w:t>2019</w:t>
      </w:r>
    </w:p>
    <w:p w:rsidR="000D3CBE" w:rsidRDefault="000D3CBE" w:rsidP="000D3CBE">
      <w:pPr>
        <w:pStyle w:val="NormalWeb"/>
        <w:rPr>
          <w:rFonts w:asciiTheme="minorHAnsi" w:hAnsiTheme="minorHAnsi" w:cstheme="minorHAnsi"/>
          <w:lang w:val="nl-NL"/>
        </w:rPr>
      </w:pPr>
      <w:r w:rsidRPr="00034877">
        <w:rPr>
          <w:rFonts w:asciiTheme="minorHAnsi" w:hAnsiTheme="minorHAnsi" w:cstheme="minorHAnsi"/>
          <w:lang w:val="nl-NL"/>
        </w:rPr>
        <w:t xml:space="preserve">De kaarten in de </w:t>
      </w:r>
      <w:r w:rsidRPr="00E72371">
        <w:rPr>
          <w:rFonts w:asciiTheme="minorHAnsi" w:hAnsiTheme="minorHAnsi" w:cstheme="minorHAnsi"/>
          <w:i/>
          <w:lang w:val="nl-NL"/>
        </w:rPr>
        <w:t>Atlas van de Regio</w:t>
      </w:r>
      <w:r w:rsidRPr="00034877">
        <w:rPr>
          <w:rFonts w:asciiTheme="minorHAnsi" w:hAnsiTheme="minorHAnsi" w:cstheme="minorHAnsi"/>
          <w:lang w:val="nl-NL"/>
        </w:rPr>
        <w:t xml:space="preserve"> zijn openbaar en mogen met de juiste bronvermelding voor onderzoek, rapportages en beleidsstukken worden gebruikt.</w:t>
      </w:r>
    </w:p>
    <w:p w:rsidR="00775DB3" w:rsidRPr="000D3CBE" w:rsidRDefault="000D3CBE" w:rsidP="000D3CBE">
      <w:pPr>
        <w:rPr>
          <w:i/>
          <w:lang w:val="nl-NL"/>
        </w:rPr>
      </w:pPr>
      <w:bookmarkStart w:id="0" w:name="_GoBack"/>
      <w:r w:rsidRPr="000D3CBE">
        <w:rPr>
          <w:rStyle w:val="Emphasis"/>
          <w:rFonts w:cstheme="minorHAnsi"/>
          <w:i w:val="0"/>
          <w:lang w:val="nl-NL"/>
        </w:rPr>
        <w:t>Deze bijsluiter is opgesteld door het PBL en is voor het laatst bewerkt op 07-07-2020.</w:t>
      </w:r>
      <w:bookmarkEnd w:id="0"/>
    </w:p>
    <w:sectPr w:rsidR="00775DB3" w:rsidRPr="000D3C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BE"/>
    <w:rsid w:val="000D3CBE"/>
    <w:rsid w:val="00775DB3"/>
    <w:rsid w:val="0097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74E56-F8B1-49E8-8866-39364D3E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CBE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0D3C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3CBE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0D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D3C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PBL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Diederiks, Jos</dc:creator>
  <cp:keywords/>
  <dc:description/>
  <cp:lastModifiedBy>Diederiks, Jos</cp:lastModifiedBy>
  <cp:revision>1</cp:revision>
  <dcterms:created xsi:type="dcterms:W3CDTF">2020-07-17T09:08:00Z</dcterms:created>
  <dcterms:modified xsi:type="dcterms:W3CDTF">2020-07-17T09:09:00Z</dcterms:modified>
</cp:coreProperties>
</file>