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88F" w:rsidRDefault="00EA588F" w:rsidP="00EA588F">
      <w:pPr>
        <w:pStyle w:val="Heading2"/>
        <w:rPr>
          <w:rFonts w:asciiTheme="minorHAnsi" w:eastAsiaTheme="minorHAnsi" w:hAnsiTheme="minorHAnsi" w:cstheme="minorHAnsi"/>
          <w:bCs w:val="0"/>
          <w:lang w:val="nl-NL" w:eastAsia="en-US"/>
        </w:rPr>
      </w:pPr>
      <w:r w:rsidRPr="00812771">
        <w:rPr>
          <w:rFonts w:asciiTheme="minorHAnsi" w:eastAsiaTheme="minorHAnsi" w:hAnsiTheme="minorHAnsi" w:cstheme="minorHAnsi"/>
          <w:bCs w:val="0"/>
          <w:lang w:val="nl-NL" w:eastAsia="en-US"/>
        </w:rPr>
        <w:t>CBS-stadsgewesten</w:t>
      </w:r>
    </w:p>
    <w:p w:rsidR="00EA588F" w:rsidRPr="00EE4BC9" w:rsidRDefault="00EA588F" w:rsidP="00EA588F">
      <w:pPr>
        <w:pStyle w:val="Heading2"/>
        <w:rPr>
          <w:rFonts w:asciiTheme="minorHAnsi" w:hAnsiTheme="minorHAnsi" w:cstheme="minorHAnsi"/>
          <w:sz w:val="28"/>
          <w:szCs w:val="28"/>
          <w:highlight w:val="yellow"/>
          <w:lang w:val="nl-NL"/>
        </w:rPr>
      </w:pPr>
    </w:p>
    <w:p w:rsidR="00EA588F" w:rsidRPr="00812771" w:rsidRDefault="00EA588F" w:rsidP="00EA588F">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r w:rsidRPr="00812771">
        <w:rPr>
          <w:rFonts w:asciiTheme="minorHAnsi" w:hAnsiTheme="minorHAnsi" w:cstheme="minorHAnsi"/>
          <w:b w:val="0"/>
          <w:bCs w:val="0"/>
          <w:sz w:val="24"/>
          <w:szCs w:val="24"/>
          <w:lang w:val="nl-NL"/>
        </w:rPr>
        <w:t xml:space="preserve"> </w:t>
      </w:r>
    </w:p>
    <w:p w:rsidR="00EA588F" w:rsidRDefault="00EA588F" w:rsidP="00EA588F">
      <w:pPr>
        <w:pStyle w:val="Heading2"/>
        <w:rPr>
          <w:rFonts w:asciiTheme="minorHAnsi" w:hAnsiTheme="minorHAnsi" w:cstheme="minorHAnsi"/>
          <w:b w:val="0"/>
          <w:bCs w:val="0"/>
          <w:sz w:val="24"/>
          <w:szCs w:val="24"/>
          <w:lang w:val="nl-NL"/>
        </w:rPr>
      </w:pPr>
      <w:r w:rsidRPr="00812771">
        <w:rPr>
          <w:rFonts w:asciiTheme="minorHAnsi" w:hAnsiTheme="minorHAnsi" w:cstheme="minorHAnsi"/>
          <w:b w:val="0"/>
          <w:bCs w:val="0"/>
          <w:sz w:val="24"/>
          <w:szCs w:val="24"/>
          <w:lang w:val="nl-NL"/>
        </w:rPr>
        <w:t>Een CBS-stadsgewest is een indeling van gemeenten naar stedelijke gebieden. Een stadsgewest bestaat uit een grootstedelijke agglomeratie en het omringende gebied dat is georiënteerd op deze agglomeratie (forensen, verhuizingen en het gebruik van voorzieningen). Het CBS introduceerde deze indeling in stadsgewesten in 2000, als opvolger van de (26) beleidsmatige stadgewesten. Met ingang van 2016 wordt deze indeling niet meer door het CBS onderhouden en door het PBL vertaald naar de recente gemeentelijke indeling.</w:t>
      </w:r>
    </w:p>
    <w:p w:rsidR="00EA588F" w:rsidRDefault="00EA588F" w:rsidP="00EA588F">
      <w:pPr>
        <w:pStyle w:val="Heading2"/>
        <w:rPr>
          <w:rFonts w:asciiTheme="minorHAnsi" w:hAnsiTheme="minorHAnsi" w:cstheme="minorHAnsi"/>
          <w:sz w:val="28"/>
          <w:szCs w:val="28"/>
          <w:lang w:val="nl-NL"/>
        </w:rPr>
      </w:pPr>
    </w:p>
    <w:p w:rsidR="00EA588F" w:rsidRPr="00DC1994" w:rsidRDefault="00EA588F" w:rsidP="00EA588F">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EA588F" w:rsidRDefault="00EA588F" w:rsidP="00EA588F">
      <w:pPr>
        <w:pStyle w:val="NormalWeb"/>
        <w:rPr>
          <w:rFonts w:asciiTheme="minorHAnsi" w:hAnsiTheme="minorHAnsi" w:cstheme="minorHAnsi"/>
          <w:lang w:val="nl-NL"/>
        </w:rPr>
      </w:pPr>
      <w:r w:rsidRPr="00DC1994">
        <w:rPr>
          <w:rFonts w:asciiTheme="minorHAnsi" w:hAnsiTheme="minorHAnsi" w:cstheme="minorHAnsi"/>
          <w:lang w:val="nl-NL"/>
        </w:rPr>
        <w:t xml:space="preserve">Bron: </w:t>
      </w:r>
      <w:r>
        <w:rPr>
          <w:rFonts w:asciiTheme="minorHAnsi" w:hAnsiTheme="minorHAnsi" w:cstheme="minorHAnsi"/>
          <w:lang w:val="nl-NL"/>
        </w:rPr>
        <w:t>CBS, bewerking PBL</w:t>
      </w:r>
    </w:p>
    <w:p w:rsidR="00EA588F" w:rsidRPr="00A46ACB" w:rsidRDefault="00EA588F" w:rsidP="00EA588F">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sidRPr="000B035B">
        <w:rPr>
          <w:rFonts w:asciiTheme="minorHAnsi" w:hAnsiTheme="minorHAnsi" w:cstheme="minorHAnsi"/>
          <w:lang w:val="nl-NL"/>
        </w:rPr>
        <w:t>PBL</w:t>
      </w:r>
    </w:p>
    <w:p w:rsidR="00EA588F" w:rsidRPr="000B035B" w:rsidRDefault="00EA588F" w:rsidP="00EA588F">
      <w:pPr>
        <w:pStyle w:val="NormalWeb"/>
        <w:rPr>
          <w:rFonts w:asciiTheme="minorHAnsi" w:hAnsiTheme="minorHAnsi" w:cstheme="minorHAnsi"/>
          <w:lang w:val="nl-NL"/>
        </w:rPr>
      </w:pPr>
      <w:r w:rsidRPr="000B035B">
        <w:rPr>
          <w:rFonts w:asciiTheme="minorHAnsi" w:hAnsiTheme="minorHAnsi" w:cstheme="minorHAnsi"/>
          <w:lang w:val="nl-NL"/>
        </w:rPr>
        <w:t xml:space="preserve">Jaar: </w:t>
      </w:r>
      <w:r>
        <w:rPr>
          <w:rFonts w:ascii="Calibri" w:hAnsi="Calibri" w:cs="Calibri"/>
          <w:color w:val="444444"/>
          <w:shd w:val="clear" w:color="auto" w:fill="FFFFFF"/>
          <w:lang w:val="nl-NL"/>
        </w:rPr>
        <w:t>2019</w:t>
      </w:r>
    </w:p>
    <w:p w:rsidR="00EA588F" w:rsidRPr="00DC1994" w:rsidRDefault="00EA588F" w:rsidP="00EA588F">
      <w:pPr>
        <w:pStyle w:val="NormalWeb"/>
        <w:rPr>
          <w:rFonts w:asciiTheme="minorHAnsi" w:hAnsiTheme="minorHAnsi" w:cstheme="minorHAnsi"/>
          <w:lang w:val="nl-NL"/>
        </w:rPr>
      </w:pPr>
      <w:r w:rsidRPr="00DC1994">
        <w:rPr>
          <w:rFonts w:asciiTheme="minorHAnsi" w:hAnsiTheme="minorHAnsi" w:cstheme="minorHAnsi"/>
          <w:lang w:val="nl-NL"/>
        </w:rPr>
        <w:t xml:space="preserve">De kaarten in de </w:t>
      </w:r>
      <w:r w:rsidRPr="00DC1994">
        <w:rPr>
          <w:rFonts w:asciiTheme="minorHAnsi" w:hAnsiTheme="minorHAnsi" w:cstheme="minorHAnsi"/>
          <w:i/>
          <w:lang w:val="nl-NL"/>
        </w:rPr>
        <w:t>Atlas van de Regio</w:t>
      </w:r>
      <w:r w:rsidRPr="00DC1994">
        <w:rPr>
          <w:rFonts w:asciiTheme="minorHAnsi" w:hAnsiTheme="minorHAnsi" w:cstheme="minorHAnsi"/>
          <w:lang w:val="nl-NL"/>
        </w:rPr>
        <w:t xml:space="preserve"> zijn openbaar en mogen met de juiste bronvermelding voor onderzoek, rapportages en beleidsstukken worden gebruikt.</w:t>
      </w:r>
    </w:p>
    <w:p w:rsidR="00EA588F" w:rsidRPr="00EA588F" w:rsidRDefault="00EA588F" w:rsidP="00EA588F">
      <w:pPr>
        <w:pStyle w:val="NormalWeb"/>
        <w:rPr>
          <w:rStyle w:val="Emphasis"/>
          <w:rFonts w:asciiTheme="minorHAnsi" w:hAnsiTheme="minorHAnsi" w:cstheme="minorHAnsi"/>
          <w:i w:val="0"/>
          <w:lang w:val="nl-NL"/>
        </w:rPr>
      </w:pPr>
      <w:bookmarkStart w:id="0" w:name="_GoBack"/>
      <w:r w:rsidRPr="00EA588F">
        <w:rPr>
          <w:rStyle w:val="Emphasis"/>
          <w:rFonts w:asciiTheme="minorHAnsi" w:hAnsiTheme="minorHAnsi" w:cstheme="minorHAnsi"/>
          <w:i w:val="0"/>
          <w:lang w:val="nl-NL"/>
        </w:rPr>
        <w:t>Deze bijsluiter is opgesteld door het PBL en is voor het laatst bewerkt op 07-07-2020.</w:t>
      </w:r>
    </w:p>
    <w:bookmarkEnd w:id="0"/>
    <w:p w:rsidR="00775DB3" w:rsidRDefault="00775DB3"/>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8F"/>
    <w:rsid w:val="00775DB3"/>
    <w:rsid w:val="009738B1"/>
    <w:rsid w:val="00EA58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2263C-2947-4422-AE41-15CD3BB1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A588F"/>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588F"/>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EA588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EA58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2020-07-17T09:09:00Z</dcterms:created>
  <dcterms:modified xsi:type="dcterms:W3CDTF">2020-07-17T09:10:00Z</dcterms:modified>
</cp:coreProperties>
</file>