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9E9" w:rsidRDefault="004459E9" w:rsidP="004459E9">
      <w:pPr>
        <w:pStyle w:val="Heading2"/>
        <w:rPr>
          <w:rFonts w:asciiTheme="minorHAnsi" w:eastAsiaTheme="minorHAnsi" w:hAnsiTheme="minorHAnsi" w:cstheme="minorHAnsi"/>
          <w:bCs w:val="0"/>
          <w:lang w:val="nl-NL" w:eastAsia="en-US"/>
        </w:rPr>
      </w:pPr>
      <w:r w:rsidRPr="00507B50">
        <w:rPr>
          <w:rFonts w:asciiTheme="minorHAnsi" w:eastAsiaTheme="minorHAnsi" w:hAnsiTheme="minorHAnsi" w:cstheme="minorHAnsi"/>
          <w:bCs w:val="0"/>
          <w:lang w:val="nl-NL" w:eastAsia="en-US"/>
        </w:rPr>
        <w:t>Stadsrandzones</w:t>
      </w:r>
    </w:p>
    <w:p w:rsidR="004459E9" w:rsidRDefault="004459E9" w:rsidP="004459E9">
      <w:pPr>
        <w:pStyle w:val="Heading2"/>
        <w:rPr>
          <w:rFonts w:asciiTheme="minorHAnsi" w:hAnsiTheme="minorHAnsi" w:cstheme="minorHAnsi"/>
          <w:sz w:val="28"/>
          <w:szCs w:val="28"/>
          <w:lang w:val="nl-NL"/>
        </w:rPr>
      </w:pPr>
    </w:p>
    <w:p w:rsidR="004459E9" w:rsidRPr="00952E42" w:rsidRDefault="004459E9" w:rsidP="004459E9">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4459E9" w:rsidRPr="001811DD" w:rsidRDefault="004459E9" w:rsidP="004459E9">
      <w:pPr>
        <w:pStyle w:val="Heading2"/>
        <w:rPr>
          <w:rFonts w:asciiTheme="minorHAnsi" w:hAnsiTheme="minorHAnsi" w:cstheme="minorHAnsi"/>
          <w:b w:val="0"/>
          <w:bCs w:val="0"/>
          <w:sz w:val="24"/>
          <w:szCs w:val="24"/>
          <w:lang w:val="nl-NL"/>
        </w:rPr>
      </w:pPr>
      <w:r w:rsidRPr="001811DD">
        <w:rPr>
          <w:rFonts w:asciiTheme="minorHAnsi" w:hAnsiTheme="minorHAnsi" w:cstheme="minorHAnsi"/>
          <w:b w:val="0"/>
          <w:bCs w:val="0"/>
          <w:sz w:val="24"/>
          <w:szCs w:val="24"/>
          <w:lang w:val="nl-NL"/>
        </w:rPr>
        <w:t>De stadsrandzone is de overgangszone tussen de stad en het platteland. De stadsrandzone ligt als een schil om het bestaand stedelijk gebied heen en volgt de grillige contouren ervan. De omvang van de stadsrandzone is afhankelijk van de grootte van het stedelijk gebied: hoe groter het stedelijk gebied, des te breder de stadsrandzone.</w:t>
      </w:r>
    </w:p>
    <w:p w:rsidR="004459E9" w:rsidRDefault="004459E9" w:rsidP="004459E9">
      <w:pPr>
        <w:pStyle w:val="Heading2"/>
        <w:rPr>
          <w:rFonts w:asciiTheme="minorHAnsi" w:hAnsiTheme="minorHAnsi" w:cstheme="minorHAnsi"/>
          <w:sz w:val="28"/>
          <w:szCs w:val="28"/>
          <w:lang w:val="nl-NL"/>
        </w:rPr>
      </w:pPr>
    </w:p>
    <w:p w:rsidR="004459E9" w:rsidRPr="00952E42" w:rsidRDefault="004459E9" w:rsidP="004459E9">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4459E9" w:rsidRDefault="004459E9" w:rsidP="004459E9">
      <w:pPr>
        <w:pStyle w:val="NormalWeb"/>
        <w:rPr>
          <w:rFonts w:asciiTheme="minorHAnsi" w:hAnsiTheme="minorHAnsi" w:cstheme="minorHAnsi"/>
          <w:lang w:val="nl-NL"/>
        </w:rPr>
      </w:pPr>
      <w:r w:rsidRPr="00DC1994">
        <w:rPr>
          <w:rFonts w:asciiTheme="minorHAnsi" w:hAnsiTheme="minorHAnsi" w:cstheme="minorHAnsi"/>
          <w:lang w:val="nl-NL"/>
        </w:rPr>
        <w:t xml:space="preserve">Bron: </w:t>
      </w:r>
      <w:r>
        <w:rPr>
          <w:rFonts w:asciiTheme="minorHAnsi" w:hAnsiTheme="minorHAnsi" w:cstheme="minorHAnsi"/>
          <w:lang w:val="nl-NL"/>
        </w:rPr>
        <w:t>PBL</w:t>
      </w:r>
    </w:p>
    <w:p w:rsidR="004459E9" w:rsidRPr="00A46ACB" w:rsidRDefault="004459E9" w:rsidP="004459E9">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sidRPr="000B035B">
        <w:rPr>
          <w:rFonts w:asciiTheme="minorHAnsi" w:hAnsiTheme="minorHAnsi" w:cstheme="minorHAnsi"/>
          <w:lang w:val="nl-NL"/>
        </w:rPr>
        <w:t>PBL</w:t>
      </w:r>
    </w:p>
    <w:p w:rsidR="004459E9" w:rsidRPr="000B035B" w:rsidRDefault="004459E9" w:rsidP="004459E9">
      <w:pPr>
        <w:pStyle w:val="NormalWeb"/>
        <w:rPr>
          <w:rFonts w:asciiTheme="minorHAnsi" w:hAnsiTheme="minorHAnsi" w:cstheme="minorHAnsi"/>
          <w:lang w:val="nl-NL"/>
        </w:rPr>
      </w:pPr>
      <w:r w:rsidRPr="000B035B">
        <w:rPr>
          <w:rFonts w:asciiTheme="minorHAnsi" w:hAnsiTheme="minorHAnsi" w:cstheme="minorHAnsi"/>
          <w:lang w:val="nl-NL"/>
        </w:rPr>
        <w:t xml:space="preserve">Jaar: </w:t>
      </w:r>
      <w:r>
        <w:rPr>
          <w:rFonts w:ascii="Calibri" w:hAnsi="Calibri" w:cs="Calibri"/>
          <w:color w:val="444444"/>
          <w:shd w:val="clear" w:color="auto" w:fill="FFFFFF"/>
          <w:lang w:val="nl-NL"/>
        </w:rPr>
        <w:t>2019</w:t>
      </w:r>
    </w:p>
    <w:p w:rsidR="004459E9" w:rsidRPr="00DC1994" w:rsidRDefault="004459E9" w:rsidP="004459E9">
      <w:pPr>
        <w:pStyle w:val="NormalWeb"/>
        <w:rPr>
          <w:rFonts w:asciiTheme="minorHAnsi" w:hAnsiTheme="minorHAnsi" w:cstheme="minorHAnsi"/>
          <w:lang w:val="nl-NL"/>
        </w:rPr>
      </w:pPr>
      <w:r w:rsidRPr="00DC1994">
        <w:rPr>
          <w:rFonts w:asciiTheme="minorHAnsi" w:hAnsiTheme="minorHAnsi" w:cstheme="minorHAnsi"/>
          <w:lang w:val="nl-NL"/>
        </w:rPr>
        <w:t xml:space="preserve">De kaarten in de </w:t>
      </w:r>
      <w:r w:rsidRPr="00DC1994">
        <w:rPr>
          <w:rFonts w:asciiTheme="minorHAnsi" w:hAnsiTheme="minorHAnsi" w:cstheme="minorHAnsi"/>
          <w:i/>
          <w:lang w:val="nl-NL"/>
        </w:rPr>
        <w:t>Atlas van de Regio</w:t>
      </w:r>
      <w:r w:rsidRPr="00DC1994">
        <w:rPr>
          <w:rFonts w:asciiTheme="minorHAnsi" w:hAnsiTheme="minorHAnsi" w:cstheme="minorHAnsi"/>
          <w:lang w:val="nl-NL"/>
        </w:rPr>
        <w:t xml:space="preserve"> zijn openbaar en mogen met de juiste bronvermelding voor onderzoek, rapportages en beleidsstukken worden gebruikt.</w:t>
      </w:r>
    </w:p>
    <w:p w:rsidR="004459E9" w:rsidRPr="004459E9" w:rsidRDefault="004459E9" w:rsidP="004459E9">
      <w:pPr>
        <w:pStyle w:val="NormalWeb"/>
        <w:rPr>
          <w:rStyle w:val="Emphasis"/>
          <w:rFonts w:asciiTheme="minorHAnsi" w:hAnsiTheme="minorHAnsi" w:cstheme="minorHAnsi"/>
          <w:i w:val="0"/>
          <w:lang w:val="nl-NL"/>
        </w:rPr>
      </w:pPr>
      <w:bookmarkStart w:id="0" w:name="_GoBack"/>
      <w:r w:rsidRPr="004459E9">
        <w:rPr>
          <w:rStyle w:val="Emphasis"/>
          <w:rFonts w:asciiTheme="minorHAnsi" w:hAnsiTheme="minorHAnsi" w:cstheme="minorHAnsi"/>
          <w:i w:val="0"/>
          <w:lang w:val="nl-NL"/>
        </w:rPr>
        <w:t>Deze bijsluiter is opgesteld door het PBL en is voor het laatst bewerkt op 07-07-2020.</w:t>
      </w:r>
    </w:p>
    <w:bookmarkEnd w:id="0"/>
    <w:p w:rsidR="00775DB3" w:rsidRDefault="00775DB3"/>
    <w:sectPr w:rsidR="00775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E9"/>
    <w:rsid w:val="004459E9"/>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19ACD-AAD4-4770-8640-F6F8BA48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459E9"/>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59E9"/>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4459E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4459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2020-07-17T09:32:00Z</dcterms:created>
  <dcterms:modified xsi:type="dcterms:W3CDTF">2020-07-17T09:33:00Z</dcterms:modified>
</cp:coreProperties>
</file>