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2A" w:rsidRDefault="00E46B2A" w:rsidP="00E46B2A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>
        <w:rPr>
          <w:rFonts w:asciiTheme="minorHAnsi" w:eastAsiaTheme="minorHAnsi" w:hAnsiTheme="minorHAnsi" w:cstheme="minorHAnsi"/>
          <w:bCs w:val="0"/>
          <w:lang w:val="nl-NL" w:eastAsia="en-US"/>
        </w:rPr>
        <w:t>Gebieden met invloed op kwetsbare natuur</w:t>
      </w:r>
    </w:p>
    <w:p w:rsidR="00E46B2A" w:rsidRDefault="00E46B2A" w:rsidP="00E46B2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E46B2A" w:rsidRDefault="00E46B2A" w:rsidP="00E46B2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E46B2A" w:rsidRDefault="00E46B2A" w:rsidP="00E46B2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Op de kaart is een combinatie aangegeven van grondwaterbeschermingsgebieden en een indicatieve bufferzone van 3 kilometer rond Natura 2000-gebieden. Deze bufferzone is van grote invloed op de biodiversiteit in natuurgebieden en leent zich voor de aanleg van extensief gebruikte buffergebieden die grenzen aan bestaande Natura 2000-gebieden. Met deze buffergebieden kunnen kwetsbare habitattypen in de Natura 2000-gebieden worden vergroot over de grenzen van het Natura 2000-gebied heen. Het vergroten van natuurgebieden kan ook bijdragen aan de landschapskwaliteit. </w:t>
      </w:r>
    </w:p>
    <w:p w:rsidR="00E46B2A" w:rsidRDefault="00E46B2A" w:rsidP="00E46B2A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Zie ook het PBL rapport ‘Stikstof: ruimte voor perspectief’: </w:t>
      </w:r>
      <w:hyperlink r:id="rId4" w:history="1">
        <w:r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https://www.pbl.nl/publicaties/stikstof-ruimte-voor-perspectief</w:t>
        </w:r>
      </w:hyperlink>
    </w:p>
    <w:p w:rsidR="00E46B2A" w:rsidRDefault="00E46B2A" w:rsidP="00E46B2A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E46B2A" w:rsidRDefault="00E46B2A" w:rsidP="00E46B2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E46B2A" w:rsidRDefault="00E46B2A" w:rsidP="00E46B2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Bron: EZ, bewerking PBL </w:t>
      </w:r>
    </w:p>
    <w:p w:rsidR="00E46B2A" w:rsidRDefault="00E46B2A" w:rsidP="00E46B2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Beheer van de kaart: PBL  </w:t>
      </w:r>
    </w:p>
    <w:p w:rsidR="00E46B2A" w:rsidRDefault="00E46B2A" w:rsidP="00E46B2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Jaar: 2019</w:t>
      </w:r>
    </w:p>
    <w:p w:rsidR="00E46B2A" w:rsidRDefault="00E46B2A" w:rsidP="00E46B2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De kaarten in de </w:t>
      </w:r>
      <w:r>
        <w:rPr>
          <w:rFonts w:asciiTheme="minorHAnsi" w:hAnsiTheme="minorHAnsi" w:cstheme="minorHAnsi"/>
          <w:i/>
          <w:lang w:val="nl-NL"/>
        </w:rPr>
        <w:t>Atlas van de Regio</w:t>
      </w:r>
      <w:r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E46B2A" w:rsidRDefault="00E46B2A" w:rsidP="00E46B2A">
      <w:pPr>
        <w:pStyle w:val="NormalWeb"/>
        <w:rPr>
          <w:rFonts w:cstheme="minorHAnsi"/>
          <w:b/>
          <w:sz w:val="36"/>
          <w:szCs w:val="36"/>
          <w:lang w:val="nl-NL"/>
        </w:rPr>
      </w:pPr>
      <w:r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02-07-2020.</w:t>
      </w:r>
    </w:p>
    <w:p w:rsidR="00775DB3" w:rsidRDefault="00775DB3">
      <w:bookmarkStart w:id="0" w:name="_GoBack"/>
      <w:bookmarkEnd w:id="0"/>
    </w:p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1"/>
    <w:rsid w:val="00473A71"/>
    <w:rsid w:val="00775DB3"/>
    <w:rsid w:val="009738B1"/>
    <w:rsid w:val="00E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90D62-D567-4D4F-8B13-B032925E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3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3A7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47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73A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73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bl.nl/publicaties/stikstof-ruimte-voor-perspect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A9369967.dotm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2</cp:revision>
  <dcterms:created xsi:type="dcterms:W3CDTF">2020-07-17T10:07:00Z</dcterms:created>
  <dcterms:modified xsi:type="dcterms:W3CDTF">2020-07-17T14:25:00Z</dcterms:modified>
</cp:coreProperties>
</file>