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12F" w:rsidRDefault="00391169" w:rsidP="008E212F">
      <w:pPr>
        <w:pStyle w:val="Heading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E</w:t>
      </w:r>
      <w:r w:rsidR="00F44F6B">
        <w:rPr>
          <w:rFonts w:asciiTheme="minorHAnsi" w:eastAsiaTheme="minorHAnsi" w:hAnsiTheme="minorHAnsi" w:cstheme="minorHAnsi"/>
          <w:bCs w:val="0"/>
          <w:lang w:val="nl-NL" w:eastAsia="en-US"/>
        </w:rPr>
        <w:t>lektriciteitsvraag woningen</w:t>
      </w:r>
      <w:r w:rsidR="00565D4E">
        <w:rPr>
          <w:rFonts w:asciiTheme="minorHAnsi" w:eastAsiaTheme="minorHAnsi" w:hAnsiTheme="minorHAnsi" w:cstheme="minorHAnsi"/>
          <w:bCs w:val="0"/>
          <w:lang w:val="nl-NL" w:eastAsia="en-US"/>
        </w:rPr>
        <w:t xml:space="preserve"> 20</w:t>
      </w:r>
      <w:r w:rsidR="00927034">
        <w:rPr>
          <w:rFonts w:asciiTheme="minorHAnsi" w:eastAsiaTheme="minorHAnsi" w:hAnsiTheme="minorHAnsi" w:cstheme="minorHAnsi"/>
          <w:bCs w:val="0"/>
          <w:lang w:val="nl-NL" w:eastAsia="en-US"/>
        </w:rPr>
        <w:t>30</w:t>
      </w:r>
    </w:p>
    <w:p w:rsidR="008E212F" w:rsidRPr="00EE4BC9" w:rsidRDefault="008E212F" w:rsidP="008E212F">
      <w:pPr>
        <w:pStyle w:val="Heading2"/>
        <w:rPr>
          <w:rFonts w:asciiTheme="minorHAnsi" w:hAnsiTheme="minorHAnsi" w:cstheme="minorHAnsi"/>
          <w:sz w:val="28"/>
          <w:szCs w:val="28"/>
          <w:highlight w:val="yellow"/>
          <w:lang w:val="nl-NL"/>
        </w:rPr>
      </w:pPr>
    </w:p>
    <w:p w:rsidR="008E212F" w:rsidRPr="00DC1994"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391169" w:rsidRPr="00193510" w:rsidRDefault="00391169" w:rsidP="008E212F">
      <w:pPr>
        <w:pStyle w:val="Heading2"/>
        <w:rPr>
          <w:rFonts w:asciiTheme="minorHAnsi" w:hAnsiTheme="minorHAnsi" w:cstheme="minorHAnsi"/>
          <w:b w:val="0"/>
          <w:bCs w:val="0"/>
          <w:sz w:val="24"/>
          <w:szCs w:val="24"/>
          <w:lang w:val="nl-NL"/>
        </w:rPr>
      </w:pPr>
      <w:r w:rsidRPr="008C02A8">
        <w:rPr>
          <w:rFonts w:asciiTheme="minorHAnsi" w:hAnsiTheme="minorHAnsi" w:cstheme="minorHAnsi"/>
          <w:b w:val="0"/>
          <w:bCs w:val="0"/>
          <w:sz w:val="24"/>
          <w:szCs w:val="24"/>
          <w:lang w:val="nl-NL"/>
        </w:rPr>
        <w:t xml:space="preserve">Deze kaart </w:t>
      </w:r>
      <w:r>
        <w:rPr>
          <w:rFonts w:asciiTheme="minorHAnsi" w:hAnsiTheme="minorHAnsi" w:cstheme="minorHAnsi"/>
          <w:b w:val="0"/>
          <w:bCs w:val="0"/>
          <w:sz w:val="24"/>
          <w:szCs w:val="24"/>
          <w:lang w:val="nl-NL"/>
        </w:rPr>
        <w:t>geeft de</w:t>
      </w:r>
      <w:r w:rsidRPr="00F44F6B">
        <w:rPr>
          <w:rFonts w:asciiTheme="minorHAnsi" w:hAnsiTheme="minorHAnsi" w:cstheme="minorHAnsi"/>
          <w:b w:val="0"/>
          <w:bCs w:val="0"/>
          <w:sz w:val="24"/>
          <w:szCs w:val="24"/>
          <w:lang w:val="nl-NL"/>
        </w:rPr>
        <w:t xml:space="preserve"> </w:t>
      </w:r>
      <w:r>
        <w:rPr>
          <w:rFonts w:asciiTheme="minorHAnsi" w:hAnsiTheme="minorHAnsi" w:cstheme="minorHAnsi"/>
          <w:b w:val="0"/>
          <w:bCs w:val="0"/>
          <w:sz w:val="24"/>
          <w:szCs w:val="24"/>
          <w:lang w:val="nl-NL"/>
        </w:rPr>
        <w:t xml:space="preserve">gemeten gemiddelde </w:t>
      </w:r>
      <w:r w:rsidRPr="00F44F6B">
        <w:rPr>
          <w:rFonts w:asciiTheme="minorHAnsi" w:hAnsiTheme="minorHAnsi" w:cstheme="minorHAnsi"/>
          <w:b w:val="0"/>
          <w:bCs w:val="0"/>
          <w:sz w:val="24"/>
          <w:szCs w:val="24"/>
          <w:lang w:val="nl-NL"/>
        </w:rPr>
        <w:t>elektriciteitsvraag van woningen in 20</w:t>
      </w:r>
      <w:r w:rsidR="00927034">
        <w:rPr>
          <w:rFonts w:asciiTheme="minorHAnsi" w:hAnsiTheme="minorHAnsi" w:cstheme="minorHAnsi"/>
          <w:b w:val="0"/>
          <w:bCs w:val="0"/>
          <w:sz w:val="24"/>
          <w:szCs w:val="24"/>
          <w:lang w:val="nl-NL"/>
        </w:rPr>
        <w:t>30</w:t>
      </w:r>
      <w:r w:rsidRPr="00F44F6B">
        <w:rPr>
          <w:rFonts w:asciiTheme="minorHAnsi" w:hAnsiTheme="minorHAnsi" w:cstheme="minorHAnsi"/>
          <w:b w:val="0"/>
          <w:bCs w:val="0"/>
          <w:sz w:val="24"/>
          <w:szCs w:val="24"/>
          <w:lang w:val="nl-NL"/>
        </w:rPr>
        <w:t xml:space="preserve"> </w:t>
      </w:r>
      <w:r>
        <w:rPr>
          <w:rFonts w:asciiTheme="minorHAnsi" w:hAnsiTheme="minorHAnsi" w:cstheme="minorHAnsi"/>
          <w:b w:val="0"/>
          <w:bCs w:val="0"/>
          <w:sz w:val="24"/>
          <w:szCs w:val="24"/>
          <w:lang w:val="nl-NL"/>
        </w:rPr>
        <w:t xml:space="preserve">weer en </w:t>
      </w:r>
      <w:r w:rsidRPr="00F44F6B">
        <w:rPr>
          <w:rFonts w:asciiTheme="minorHAnsi" w:hAnsiTheme="minorHAnsi" w:cstheme="minorHAnsi"/>
          <w:b w:val="0"/>
          <w:bCs w:val="0"/>
          <w:sz w:val="24"/>
          <w:szCs w:val="24"/>
          <w:lang w:val="nl-NL"/>
        </w:rPr>
        <w:t xml:space="preserve"> is overgenomen van de Klimaatmonitor</w:t>
      </w:r>
      <w:r>
        <w:rPr>
          <w:rFonts w:asciiTheme="minorHAnsi" w:hAnsiTheme="minorHAnsi" w:cstheme="minorHAnsi"/>
          <w:b w:val="0"/>
          <w:bCs w:val="0"/>
          <w:sz w:val="24"/>
          <w:szCs w:val="24"/>
          <w:lang w:val="nl-NL"/>
        </w:rPr>
        <w:t xml:space="preserve"> via de </w:t>
      </w:r>
      <w:r w:rsidR="002970F0" w:rsidRPr="002970F0">
        <w:rPr>
          <w:rFonts w:asciiTheme="minorHAnsi" w:hAnsiTheme="minorHAnsi" w:cstheme="minorHAnsi"/>
          <w:b w:val="0"/>
          <w:bCs w:val="0"/>
          <w:sz w:val="24"/>
          <w:szCs w:val="24"/>
          <w:lang w:val="nl-NL"/>
        </w:rPr>
        <w:t>analysekaarten RES</w:t>
      </w:r>
      <w:r w:rsidRPr="00F44F6B">
        <w:rPr>
          <w:rFonts w:asciiTheme="minorHAnsi" w:hAnsiTheme="minorHAnsi" w:cstheme="minorHAnsi"/>
          <w:b w:val="0"/>
          <w:bCs w:val="0"/>
          <w:sz w:val="24"/>
          <w:szCs w:val="24"/>
          <w:lang w:val="nl-NL"/>
        </w:rPr>
        <w:t>.</w:t>
      </w:r>
      <w:bookmarkStart w:id="0" w:name="_GoBack"/>
      <w:bookmarkEnd w:id="0"/>
    </w:p>
    <w:p w:rsidR="008E212F"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3656D8" w:rsidRDefault="00874D09" w:rsidP="00874D09">
      <w:pPr>
        <w:pStyle w:val="Heading2"/>
        <w:rPr>
          <w:rFonts w:asciiTheme="minorHAnsi" w:hAnsiTheme="minorHAnsi" w:cstheme="minorHAnsi"/>
          <w:b w:val="0"/>
          <w:bCs w:val="0"/>
          <w:sz w:val="24"/>
          <w:szCs w:val="24"/>
          <w:lang w:val="nl-NL"/>
        </w:rPr>
      </w:pPr>
      <w:r w:rsidRPr="00874D09">
        <w:rPr>
          <w:rFonts w:asciiTheme="minorHAnsi" w:hAnsiTheme="minorHAnsi" w:cstheme="minorHAnsi"/>
          <w:b w:val="0"/>
          <w:bCs w:val="0"/>
          <w:sz w:val="24"/>
          <w:szCs w:val="24"/>
          <w:lang w:val="nl-NL"/>
        </w:rPr>
        <w:t xml:space="preserve">De inschatting van de verwachte elektriciteitsvraag van woningen in 2030 is gebaseerd op drie factoren: de huidige elektriciteitsvraag, een voorspelling van de groei van het aantal woningen, en de verwachte gemiddelde efficiëntieverbetering van woningen. De huidige (2017) elektriciteitsvraag komt rechtstreeks van Klimaatmonitor zoals hierboven is beschreven. De voorspelling van de groei van het aantal woningen per gemeente is gebaseerd op de prognoses van PRIMOS3. De verwachte efficiëntieverbetering van woningen, die zich uit in energiebesparing, is gebaseerd op de Nationale Energieverkenning (NEV) van 20174, Tabel 5b. Deze verwachting houdt rekening met zowel vastgesteld als voorgenomen beleid, inclusief efficiëntieverbeteringen ten gevolge van de energiezuinigheid van nieuwbouw. De besparingen zijn in rekening gebracht conform het Protocol Monitoring Energiebesparing5 van CPB, ECN, </w:t>
      </w:r>
      <w:proofErr w:type="spellStart"/>
      <w:r w:rsidRPr="00874D09">
        <w:rPr>
          <w:rFonts w:asciiTheme="minorHAnsi" w:hAnsiTheme="minorHAnsi" w:cstheme="minorHAnsi"/>
          <w:b w:val="0"/>
          <w:bCs w:val="0"/>
          <w:sz w:val="24"/>
          <w:szCs w:val="24"/>
          <w:lang w:val="nl-NL"/>
        </w:rPr>
        <w:t>Novem</w:t>
      </w:r>
      <w:proofErr w:type="spellEnd"/>
      <w:r w:rsidRPr="00874D09">
        <w:rPr>
          <w:rFonts w:asciiTheme="minorHAnsi" w:hAnsiTheme="minorHAnsi" w:cstheme="minorHAnsi"/>
          <w:b w:val="0"/>
          <w:bCs w:val="0"/>
          <w:sz w:val="24"/>
          <w:szCs w:val="24"/>
          <w:lang w:val="nl-NL"/>
        </w:rPr>
        <w:t xml:space="preserve"> en RIVM. De prognoses voor de groei van woningen van PRIMOS geeft enkel de groei van alle woningen weer, niet uitgesplitst naar huur- en koopwoningen. Ook de besparingsprognoses zijn enkel beschikbaar voor huishoudens in het algemeen. Om deze twee redenen kan de elektriciteitsvraag van woningen in 2030 niet uitgesplitst worden in huur- en koopwoningen. </w:t>
      </w:r>
    </w:p>
    <w:p w:rsidR="008E212F" w:rsidRPr="00874D09" w:rsidRDefault="008E212F" w:rsidP="00874D09">
      <w:pPr>
        <w:pStyle w:val="Heading2"/>
        <w:rPr>
          <w:rFonts w:asciiTheme="minorHAnsi" w:hAnsiTheme="minorHAnsi" w:cstheme="minorHAnsi"/>
          <w:b w:val="0"/>
          <w:bCs w:val="0"/>
          <w:sz w:val="24"/>
          <w:szCs w:val="24"/>
          <w:lang w:val="nl-NL"/>
        </w:rPr>
      </w:pPr>
      <w:r w:rsidRPr="00874D09">
        <w:rPr>
          <w:rFonts w:asciiTheme="minorHAnsi" w:hAnsiTheme="minorHAnsi" w:cstheme="minorHAnsi"/>
          <w:b w:val="0"/>
          <w:bCs w:val="0"/>
          <w:sz w:val="24"/>
          <w:szCs w:val="24"/>
          <w:lang w:val="nl-NL"/>
        </w:rPr>
        <w:t xml:space="preserve">Bron: </w:t>
      </w:r>
      <w:r w:rsidR="00CA7B19" w:rsidRPr="00874D09">
        <w:rPr>
          <w:rFonts w:asciiTheme="minorHAnsi" w:hAnsiTheme="minorHAnsi" w:cstheme="minorHAnsi"/>
          <w:b w:val="0"/>
          <w:bCs w:val="0"/>
          <w:sz w:val="24"/>
          <w:szCs w:val="24"/>
          <w:lang w:val="nl-NL"/>
        </w:rPr>
        <w:t>CE Delft berekeningen op basis van Klimaatmonitor, PRIMOS en NEV 2017</w:t>
      </w:r>
    </w:p>
    <w:p w:rsidR="008E212F" w:rsidRPr="00A46ACB" w:rsidRDefault="008E212F" w:rsidP="008E212F">
      <w:pPr>
        <w:pStyle w:val="NormalWeb"/>
        <w:rPr>
          <w:rFonts w:asciiTheme="minorHAnsi" w:hAnsiTheme="minorHAnsi" w:cstheme="minorHAnsi"/>
          <w:lang w:val="nl-NL"/>
        </w:rPr>
      </w:pPr>
      <w:r>
        <w:rPr>
          <w:rFonts w:asciiTheme="minorHAnsi" w:hAnsiTheme="minorHAnsi" w:cstheme="minorHAnsi"/>
          <w:lang w:val="nl-NL"/>
        </w:rPr>
        <w:t xml:space="preserve">Beheer van de kaart: </w:t>
      </w:r>
      <w:r w:rsidR="003656D8">
        <w:rPr>
          <w:rFonts w:asciiTheme="minorHAnsi" w:hAnsiTheme="minorHAnsi" w:cstheme="minorHAnsi"/>
          <w:lang w:val="nl-NL"/>
        </w:rPr>
        <w:t>PBL</w:t>
      </w:r>
    </w:p>
    <w:p w:rsidR="008E212F" w:rsidRPr="00811E67" w:rsidRDefault="008E212F" w:rsidP="008E212F">
      <w:pPr>
        <w:rPr>
          <w:sz w:val="24"/>
          <w:szCs w:val="24"/>
          <w:lang w:val="nl-NL"/>
        </w:rPr>
      </w:pPr>
      <w:r w:rsidRPr="00811E67">
        <w:rPr>
          <w:sz w:val="24"/>
          <w:szCs w:val="24"/>
          <w:lang w:val="nl-NL"/>
        </w:rPr>
        <w:t>Jaar: 20</w:t>
      </w:r>
      <w:r w:rsidR="00D54BC2">
        <w:rPr>
          <w:sz w:val="24"/>
          <w:szCs w:val="24"/>
          <w:lang w:val="nl-NL"/>
        </w:rPr>
        <w:t>30</w:t>
      </w:r>
    </w:p>
    <w:p w:rsidR="008E212F" w:rsidRPr="00811E67" w:rsidRDefault="008E212F" w:rsidP="008E212F">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8E212F" w:rsidRPr="00811E67" w:rsidRDefault="008E212F" w:rsidP="008E212F">
      <w:pPr>
        <w:rPr>
          <w:sz w:val="24"/>
          <w:szCs w:val="24"/>
          <w:lang w:val="nl-NL"/>
        </w:rPr>
      </w:pPr>
      <w:r w:rsidRPr="00811E67">
        <w:rPr>
          <w:rStyle w:val="Emphasis"/>
          <w:rFonts w:cstheme="minorHAnsi"/>
          <w:i w:val="0"/>
          <w:sz w:val="24"/>
          <w:szCs w:val="24"/>
          <w:lang w:val="nl-NL"/>
        </w:rPr>
        <w:t xml:space="preserve">Deze bijsluiter is opgesteld door het PBL en is voor het laatst bewerkt op </w:t>
      </w:r>
      <w:r w:rsidR="00565D4E">
        <w:rPr>
          <w:rStyle w:val="Emphasis"/>
          <w:rFonts w:cstheme="minorHAnsi"/>
          <w:i w:val="0"/>
          <w:sz w:val="24"/>
          <w:szCs w:val="24"/>
          <w:lang w:val="nl-NL"/>
        </w:rPr>
        <w:t>09-10</w:t>
      </w:r>
      <w:r w:rsidRPr="00811E67">
        <w:rPr>
          <w:rStyle w:val="Emphasis"/>
          <w:rFonts w:cstheme="minorHAnsi"/>
          <w:i w:val="0"/>
          <w:sz w:val="24"/>
          <w:szCs w:val="24"/>
          <w:lang w:val="nl-NL"/>
        </w:rPr>
        <w:t>-2020.</w:t>
      </w:r>
    </w:p>
    <w:p w:rsidR="00775DB3" w:rsidRPr="008E212F" w:rsidRDefault="00775DB3">
      <w:pPr>
        <w:rPr>
          <w:lang w:val="nl-NL"/>
        </w:rPr>
      </w:pPr>
    </w:p>
    <w:sectPr w:rsidR="00775DB3" w:rsidRPr="008E2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2F"/>
    <w:rsid w:val="00091360"/>
    <w:rsid w:val="00193510"/>
    <w:rsid w:val="002970F0"/>
    <w:rsid w:val="003656D8"/>
    <w:rsid w:val="00391169"/>
    <w:rsid w:val="00565D4E"/>
    <w:rsid w:val="00775DB3"/>
    <w:rsid w:val="00874D09"/>
    <w:rsid w:val="008E212F"/>
    <w:rsid w:val="00927034"/>
    <w:rsid w:val="009738B1"/>
    <w:rsid w:val="00C04286"/>
    <w:rsid w:val="00CA7B19"/>
    <w:rsid w:val="00D54BC2"/>
    <w:rsid w:val="00F44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9800"/>
  <w15:chartTrackingRefBased/>
  <w15:docId w15:val="{1CC4A30B-E3E5-417C-99E2-34FC4198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12F"/>
    <w:pPr>
      <w:spacing w:after="200" w:line="276" w:lineRule="auto"/>
    </w:pPr>
    <w:rPr>
      <w:lang w:val="en-GB"/>
    </w:rPr>
  </w:style>
  <w:style w:type="paragraph" w:styleId="Heading2">
    <w:name w:val="heading 2"/>
    <w:basedOn w:val="Normal"/>
    <w:link w:val="Heading2Char"/>
    <w:uiPriority w:val="9"/>
    <w:qFormat/>
    <w:rsid w:val="008E21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212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E21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E212F"/>
    <w:rPr>
      <w:color w:val="0000FF"/>
      <w:u w:val="single"/>
    </w:rPr>
  </w:style>
  <w:style w:type="character" w:styleId="Emphasis">
    <w:name w:val="Emphasis"/>
    <w:basedOn w:val="DefaultParagraphFont"/>
    <w:uiPriority w:val="20"/>
    <w:qFormat/>
    <w:rsid w:val="008E21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CB12A8D6.dotm</Template>
  <TotalTime>15</TotalTime>
  <Pages>1</Pages>
  <Words>281</Words>
  <Characters>1550</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PBL</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8</cp:revision>
  <dcterms:created xsi:type="dcterms:W3CDTF">2020-10-29T10:33:00Z</dcterms:created>
  <dcterms:modified xsi:type="dcterms:W3CDTF">2020-10-30T10:51:00Z</dcterms:modified>
</cp:coreProperties>
</file>